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BECC" w14:textId="67784787" w:rsidR="00DA1832" w:rsidRPr="009C335F" w:rsidRDefault="00D776CD" w:rsidP="00D01D3C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9C335F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Рекомендации по </w:t>
      </w:r>
      <w:bookmarkStart w:id="0" w:name="_Hlk199172882"/>
      <w:r w:rsidRPr="009C335F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оценке и</w:t>
      </w:r>
      <w:r w:rsidR="00407301" w:rsidRPr="009C335F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9C335F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управлению профессиональными рисками</w:t>
      </w:r>
    </w:p>
    <w:p w14:paraId="590BD98B" w14:textId="77777777" w:rsidR="00FF5FB0" w:rsidRPr="009C335F" w:rsidRDefault="00FF5FB0" w:rsidP="00687996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</w:p>
    <w:bookmarkEnd w:id="0"/>
    <w:p w14:paraId="37529569" w14:textId="612695F0" w:rsidR="00FF5FB0" w:rsidRDefault="00FF5FB0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Профессиональный риск – это вероятность причинения вреда жизни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(или)</w:t>
      </w:r>
      <w:r w:rsid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здоровью работника в результате воздействия на него вредного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(или)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опасного производственного фактора при исполнении трудовой функции с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учетом возможной тяжести повреждения здоровья </w:t>
      </w:r>
      <w:bookmarkStart w:id="1" w:name="_Hlk198723453"/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</w:t>
      </w:r>
      <w:bookmarkStart w:id="2" w:name="_Hlk198722960"/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часть 13 статьи 209 Трудового кодекса Российской Федерации</w:t>
      </w:r>
      <w:bookmarkEnd w:id="2"/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).</w:t>
      </w:r>
    </w:p>
    <w:p w14:paraId="20ADA5E4" w14:textId="3A8B96A7" w:rsidR="00D01D3C" w:rsidRPr="009C335F" w:rsidRDefault="00D01D3C" w:rsidP="00D01D3C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Профессиональные риски в зависимости от источника их возникновения подразделяются на риски травмирования работника и риски получения им профессионального заболевания.</w:t>
      </w:r>
    </w:p>
    <w:bookmarkEnd w:id="1"/>
    <w:p w14:paraId="23A2D3DE" w14:textId="699E23BA" w:rsidR="00FF5FB0" w:rsidRPr="009C335F" w:rsidRDefault="00FF5FB0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В соответствии </w:t>
      </w:r>
      <w:r w:rsidR="00536C2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 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частью 3 статьи 214 Трудового кодекса Российской Федерации работодатель обязан обеспечить:</w:t>
      </w:r>
    </w:p>
    <w:p w14:paraId="0FC5A5B3" w14:textId="31031A1D" w:rsidR="00FF5FB0" w:rsidRDefault="00FF5FB0" w:rsidP="006879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9C335F">
        <w:rPr>
          <w:rFonts w:ascii="Times New Roman" w:hAnsi="Times New Roman" w:cs="Times New Roman"/>
          <w:sz w:val="26"/>
          <w:szCs w:val="26"/>
        </w:rPr>
        <w:t>систематическое выявление опасностей и профессиональных рисков, их</w:t>
      </w:r>
      <w:r w:rsidR="00D01D3C">
        <w:rPr>
          <w:rFonts w:ascii="Times New Roman" w:hAnsi="Times New Roman" w:cs="Times New Roman"/>
          <w:sz w:val="26"/>
          <w:szCs w:val="26"/>
        </w:rPr>
        <w:t> </w:t>
      </w:r>
      <w:r w:rsidRPr="009C335F">
        <w:rPr>
          <w:rFonts w:ascii="Times New Roman" w:hAnsi="Times New Roman" w:cs="Times New Roman"/>
          <w:sz w:val="26"/>
          <w:szCs w:val="26"/>
        </w:rPr>
        <w:t>регулярный анализ и оценку;</w:t>
      </w:r>
    </w:p>
    <w:p w14:paraId="4FABAED0" w14:textId="0A3798BB" w:rsidR="00536C27" w:rsidRPr="009C335F" w:rsidRDefault="00536C27" w:rsidP="00536C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C27">
        <w:rPr>
          <w:rFonts w:ascii="Times New Roman" w:hAnsi="Times New Roman" w:cs="Times New Roman"/>
          <w:sz w:val="26"/>
          <w:szCs w:val="26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14:paraId="779A6CDA" w14:textId="3CA5D03E" w:rsidR="00FF5FB0" w:rsidRPr="00FF5FB0" w:rsidRDefault="00FF5FB0" w:rsidP="006879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FB0">
        <w:rPr>
          <w:rFonts w:ascii="Times New Roman" w:hAnsi="Times New Roman" w:cs="Times New Roman"/>
          <w:sz w:val="26"/>
          <w:szCs w:val="26"/>
        </w:rPr>
        <w:t>информирование работников о существующих профессиональных</w:t>
      </w:r>
      <w:r w:rsidRPr="00FF5F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5FB0">
        <w:rPr>
          <w:rFonts w:ascii="Times New Roman" w:hAnsi="Times New Roman" w:cs="Times New Roman"/>
          <w:sz w:val="26"/>
          <w:szCs w:val="26"/>
        </w:rPr>
        <w:t>рисках и</w:t>
      </w:r>
      <w:r w:rsidR="00D01D3C">
        <w:rPr>
          <w:rFonts w:ascii="Times New Roman" w:hAnsi="Times New Roman" w:cs="Times New Roman"/>
          <w:sz w:val="26"/>
          <w:szCs w:val="26"/>
        </w:rPr>
        <w:t> </w:t>
      </w:r>
      <w:r w:rsidRPr="00FF5FB0">
        <w:rPr>
          <w:rFonts w:ascii="Times New Roman" w:hAnsi="Times New Roman" w:cs="Times New Roman"/>
          <w:sz w:val="26"/>
          <w:szCs w:val="26"/>
        </w:rPr>
        <w:t>их</w:t>
      </w:r>
      <w:r w:rsidR="00D01D3C">
        <w:rPr>
          <w:rFonts w:ascii="Times New Roman" w:hAnsi="Times New Roman" w:cs="Times New Roman"/>
          <w:sz w:val="26"/>
          <w:szCs w:val="26"/>
        </w:rPr>
        <w:t> </w:t>
      </w:r>
      <w:r w:rsidRPr="00FF5FB0">
        <w:rPr>
          <w:rFonts w:ascii="Times New Roman" w:hAnsi="Times New Roman" w:cs="Times New Roman"/>
          <w:sz w:val="26"/>
          <w:szCs w:val="26"/>
        </w:rPr>
        <w:t>уровнях</w:t>
      </w:r>
      <w:r w:rsidRPr="009C335F">
        <w:rPr>
          <w:rFonts w:ascii="Times New Roman" w:hAnsi="Times New Roman" w:cs="Times New Roman"/>
          <w:sz w:val="26"/>
          <w:szCs w:val="26"/>
        </w:rPr>
        <w:t>.</w:t>
      </w:r>
    </w:p>
    <w:p w14:paraId="3CC870D9" w14:textId="71024AB3" w:rsidR="00687996" w:rsidRDefault="00FF5FB0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</w:t>
      </w:r>
      <w:r w:rsidR="00425E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татьей</w:t>
      </w:r>
      <w:r w:rsidRPr="00FF5F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218</w:t>
      </w:r>
      <w:r w:rsidR="009C335F"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Трудового кодекса Российской Федерации </w:t>
      </w:r>
      <w:r w:rsidR="00425E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предусмотрено, что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="009C335F"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</w:t>
      </w:r>
      <w:r w:rsidRPr="00FF5FB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</w:r>
    </w:p>
    <w:p w14:paraId="41E441A3" w14:textId="4C57F4BE" w:rsidR="009C335F" w:rsidRPr="009C335F" w:rsidRDefault="00407301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Управление профессиональными рисками </w:t>
      </w:r>
      <w:r w:rsidR="009C335F"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комплекс взаимосвязанных мероприятий и процедур, являющихся элементами системы управления охраной труда и включающих в себя</w:t>
      </w:r>
      <w:r w:rsidR="00BC1DC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: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выявление опасностей, оценку профессиональных рисков и применение мер по снижению уровней профессиональных рисков или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недопущению повышения их уровней, мониторинг и пересмотр выявленных профессиональных рисков</w:t>
      </w:r>
      <w:r w:rsidR="009C335F" w:rsidRPr="009C33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(часть 14 статьи 209 Трудового кодекса Российской Федерации).</w:t>
      </w:r>
    </w:p>
    <w:p w14:paraId="3B992FE6" w14:textId="23B9BC82" w:rsidR="00CE5E3A" w:rsidRPr="00CE5E3A" w:rsidRDefault="00CE5E3A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E5E3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Выявление опасностей осуществляется путем обнаружения, распознавания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CE5E3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описания опасностей, включая их источники, условия возникновения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CE5E3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потенциальные последствия при управлении профессиональными рисками.</w:t>
      </w:r>
    </w:p>
    <w:p w14:paraId="7D5C002D" w14:textId="15296369" w:rsidR="009D634E" w:rsidRPr="009D634E" w:rsidRDefault="00CE5E3A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E5E3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Опасности подлежат обнаружению, распознаванию и описанию в ходе проводимого работодателем контроля за состоянием условий и охраны труда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CE5E3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соблюдением требований охраны труда в структурных подразделениях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CE5E3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CE5E3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рабочих местах, при проведении расследования несчастных случаев на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CE5E3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производстве и профессиональных заболеваний, а также при рассмотрении причин и обстоятельств событий, приведших к возникновению микроповреждений (микротравм).</w:t>
      </w:r>
    </w:p>
    <w:p w14:paraId="57CA7E2C" w14:textId="16CF5657" w:rsidR="009D634E" w:rsidRPr="00CE5E3A" w:rsidRDefault="009D634E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Анализ и упорядочивание всех выявленных опасностей рекомендуется осуществлять исходя из приоритета необходимости исключения, снижения или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поддержания на приемлемом уровне создаваемых ими профессиональных рисков с учетом не только штатных (нормальных) условий своей деятельности, 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но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случаев возможных отклонений в работе, в том числе связанных с возможными авариями и инцидентами на рабочих местах и подконтрольных работодателю объектах.</w:t>
      </w:r>
    </w:p>
    <w:p w14:paraId="6A9ED6C8" w14:textId="04106D1D" w:rsidR="003E27C3" w:rsidRDefault="009D634E" w:rsidP="00687996">
      <w:pPr>
        <w:spacing w:after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Выявление (идентификация) опасностей, представляющих угрозу жизни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здоровью работников, и составление их перечня (реестра) рекомендуется проводить с учетом рекомендаций по классификации, обнаружению, распознаванию и описанию опасностей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утвержденны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приказом Минтруда России от 31.01.2022 №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36.</w:t>
      </w:r>
      <w:r w:rsidR="003E27C3" w:rsidRPr="003E27C3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14:paraId="2939BFC5" w14:textId="7656D109" w:rsidR="003E27C3" w:rsidRDefault="003E27C3" w:rsidP="00687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E27C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Примерный перечень опасностей, их причин (источников), а также мер управления/контроля рисков приведен в </w:t>
      </w:r>
      <w:hyperlink r:id="rId8" w:history="1">
        <w:r w:rsidRPr="003E27C3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 xml:space="preserve">приложении </w:t>
        </w:r>
        <w:r w:rsidR="00D01D3C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№</w:t>
        </w:r>
        <w:r w:rsidRPr="003E27C3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 xml:space="preserve"> 1</w:t>
        </w:r>
      </w:hyperlink>
      <w:r w:rsidRPr="003E27C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Примерного положения о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системе управления охраной труда, утвержденного приказом Минтруда России от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29.10.2021 № 776н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="00FD339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3E27C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Работодатель вправе изменять перечень указанных опасностей или включать в него дополнительные опасности, исходя из специфики своей деятельности.</w:t>
      </w:r>
    </w:p>
    <w:p w14:paraId="3904333E" w14:textId="6D05BB40" w:rsidR="00247738" w:rsidRDefault="00247738" w:rsidP="00687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Кроме того</w:t>
      </w:r>
      <w:r w:rsidR="00A607AE" w:rsidRP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 при проведении процедуры по оценки профессиональных рисков</w:t>
      </w:r>
      <w:r w:rsidRP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A607AE" w:rsidRP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необходимо</w:t>
      </w:r>
      <w:r w:rsidRP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учитывать опасности, представляющие угрозу жизни и здоровью работников, а также факторы окружающей среды или трудового процесса, способные привести к травме или профессиональному заболеванию перечисленн</w:t>
      </w:r>
      <w:r w:rsidR="00A607AE" w:rsidRP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ы</w:t>
      </w:r>
      <w:r w:rsidRP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е в приложении № 2 </w:t>
      </w:r>
      <w:r w:rsidR="00A607AE" w:rsidRPr="006946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Единых типовых норм выдачи средств индивидуальной защиты и смывающих средств, утвержденных приказом Минтруда России от 29.10.2021 № 767н.</w:t>
      </w:r>
    </w:p>
    <w:p w14:paraId="4AA94E3D" w14:textId="77777777" w:rsidR="009D634E" w:rsidRPr="009D634E" w:rsidRDefault="009D634E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соответствии с пунктом 21 Примерного положения о системе управления охраной труда, утвержденного приказом Минтруда России от 29.10.2021 № 776н оценку уровня профессиональных рисков, связанных с выявленными опасностями, рекомендуется осуществлять для всех выявленных (идентифицированных) опасностей.</w:t>
      </w:r>
    </w:p>
    <w:p w14:paraId="304C48A8" w14:textId="07DDF537" w:rsidR="00EB3E4D" w:rsidRDefault="009D634E" w:rsidP="00EB3E4D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рисков, выявленных (идентифицированных) опасностей</w:t>
      </w:r>
      <w:proofErr w:type="gramStart"/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proofErr w:type="gramEnd"/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утвержденны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</w:t>
      </w:r>
      <w:r w:rsidRPr="009D634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</w:t>
      </w:r>
      <w:r w:rsidR="00EB3E4D" w:rsidRP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риказ</w:t>
      </w:r>
      <w:r w:rsid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ом</w:t>
      </w:r>
      <w:r w:rsidR="00EB3E4D" w:rsidRP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bookmarkStart w:id="3" w:name="_Hlk199238902"/>
      <w:r w:rsidR="00EB3E4D" w:rsidRP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Минтруда России </w:t>
      </w:r>
      <w:bookmarkEnd w:id="3"/>
      <w:r w:rsidR="00EB3E4D" w:rsidRP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</w:t>
      </w:r>
      <w:r w:rsid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="00EB3E4D" w:rsidRP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28.12.2021 </w:t>
      </w:r>
      <w:r w:rsid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№</w:t>
      </w:r>
      <w:r w:rsidR="00EB3E4D" w:rsidRP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926</w:t>
      </w:r>
      <w:r w:rsid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(далее – Рекомендации).</w:t>
      </w:r>
    </w:p>
    <w:p w14:paraId="410D6388" w14:textId="437E0C31" w:rsidR="00E60520" w:rsidRDefault="00E60520" w:rsidP="007144EC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целях оценки риска повреждения здоровья работников могут применяться методы, содержащиеся в национальных стандартах Российской Федерации. Указанные методы рекомендуется применять в дополнение к законодательным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другим обязательным требованиям.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hyperlink r:id="rId9" w:history="1">
        <w:r w:rsidRPr="00D01D3C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ГОСТ Р 12.0.010-2009</w:t>
        </w:r>
      </w:hyperlink>
      <w:r w:rsidR="00D01D3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«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Национальный стандарт Российской Федерации. Система стандартов безопасности труда. Системы управления охраной труда. Определение опасностей и оценка рисков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 у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твержден и</w:t>
      </w:r>
      <w:r w:rsidR="00D01D3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введен в действие </w:t>
      </w:r>
      <w:hyperlink r:id="rId10" w:history="1">
        <w:r w:rsidRPr="00F33E37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приказом</w:t>
        </w:r>
      </w:hyperlink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Ростехрегулирования от 10</w:t>
      </w:r>
      <w:r w:rsidR="00F33E3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.12.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2009 </w:t>
      </w:r>
      <w:r w:rsidR="00F33E3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№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680-ст.</w:t>
      </w:r>
    </w:p>
    <w:p w14:paraId="70164F73" w14:textId="7B9E3409" w:rsidR="00F33E37" w:rsidRDefault="003E27C3" w:rsidP="0021735C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E27C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Допускается использование различных методов оценки уровня профессиональных рисков для разных процессов и операций с учетом специфики деятельности. </w:t>
      </w:r>
    </w:p>
    <w:p w14:paraId="54F32A85" w14:textId="07845763" w:rsidR="0021735C" w:rsidRDefault="003E27C3" w:rsidP="0021735C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Выбор метода и сложность процедуры оценки уровня профессиональных рисков </w:t>
      </w:r>
      <w:r w:rsidR="00F33E37"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зависит от</w:t>
      </w:r>
      <w:r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результата выявленных опасностей, а также особенност</w:t>
      </w:r>
      <w:r w:rsidR="00F33E37"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ей</w:t>
      </w:r>
      <w:r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и</w:t>
      </w:r>
      <w:r w:rsidR="00F33E37"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сложност</w:t>
      </w:r>
      <w:r w:rsidR="00F33E37"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</w:t>
      </w:r>
      <w:r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производственных процессов,</w:t>
      </w:r>
      <w:r w:rsidRPr="003E27C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осуществляемых у работодателя.</w:t>
      </w:r>
    </w:p>
    <w:p w14:paraId="100EF22D" w14:textId="20959DA1" w:rsidR="00E60520" w:rsidRPr="00E60520" w:rsidRDefault="00E60520" w:rsidP="0021735C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По результатам оценки уровня профессиональных рисков рекомендуется оформить перечень (реестр) рисков, ранжированный в зависимости от оцененного уровня каждого риска (</w:t>
      </w:r>
      <w:hyperlink r:id="rId11" w:history="1">
        <w:r w:rsidRPr="00F33E37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п</w:t>
        </w:r>
        <w:r w:rsidR="00F33E37" w:rsidRPr="00F33E37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ункт</w:t>
        </w:r>
        <w:r w:rsidRPr="00F33E37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 xml:space="preserve"> 88</w:t>
        </w:r>
      </w:hyperlink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Рек</w:t>
      </w:r>
      <w:r w:rsidRPr="00EB3E4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омен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даций).</w:t>
      </w:r>
    </w:p>
    <w:p w14:paraId="5D89C19D" w14:textId="76012B8B" w:rsidR="00E60520" w:rsidRPr="003E27C3" w:rsidRDefault="00E60520" w:rsidP="00857258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 мнению Минтруда России, результаты оценки профессиональных рисков можно фиксировать в локальных актах работодателя, которые утверждаются по</w:t>
      </w:r>
      <w:r w:rsidR="00F33E3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результатам реализации плана мероприятий функционирования системы управления охраной труда (</w:t>
      </w:r>
      <w:hyperlink r:id="rId12" w:history="1">
        <w:r w:rsidRPr="00F33E37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Письмо</w:t>
        </w:r>
      </w:hyperlink>
      <w:r w:rsidR="0053608A" w:rsidRP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от 24.11.2023 </w:t>
      </w:r>
      <w:r w:rsidR="0053608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№</w:t>
      </w:r>
      <w:r w:rsidRPr="00E60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15-1/ООГ-5199).</w:t>
      </w:r>
    </w:p>
    <w:p w14:paraId="1B128698" w14:textId="29D932D5" w:rsidR="003E27C3" w:rsidRDefault="003E27C3" w:rsidP="00687996">
      <w:pPr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E27C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Допускается привл</w:t>
      </w:r>
      <w:r w:rsidR="002F65B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екать</w:t>
      </w:r>
      <w:r w:rsidRPr="003E27C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для выявления (идентификации) опасностей и</w:t>
      </w:r>
      <w:r w:rsidR="002F65B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  <w:r w:rsidRPr="003E27C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оценки уровней профессиональных рисков независимую организацию, обладающую необходимой компетенцией.</w:t>
      </w:r>
    </w:p>
    <w:p w14:paraId="07FC2500" w14:textId="77777777" w:rsidR="00857258" w:rsidRDefault="00687996" w:rsidP="0085725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Напоминаем, что </w:t>
      </w:r>
      <w:r w:rsidR="002F65B5"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оценка профессиональных рисков должна проводится </w:t>
      </w:r>
      <w:r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систематически (</w:t>
      </w:r>
      <w:hyperlink r:id="rId13" w:history="1">
        <w:r w:rsidRPr="0063217C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ч</w:t>
        </w:r>
        <w:r w:rsidR="002F65B5" w:rsidRPr="0063217C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асть</w:t>
        </w:r>
        <w:r w:rsidRPr="0063217C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 xml:space="preserve"> 3 с</w:t>
        </w:r>
        <w:r w:rsidR="002F65B5" w:rsidRPr="0063217C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 xml:space="preserve">татьи </w:t>
        </w:r>
        <w:r w:rsidRPr="0063217C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214</w:t>
        </w:r>
      </w:hyperlink>
      <w:r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Т</w:t>
      </w:r>
      <w:r w:rsidR="002F65B5"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рудового кодекса</w:t>
      </w:r>
      <w:r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Р</w:t>
      </w:r>
      <w:r w:rsidR="002F65B5"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оссийской </w:t>
      </w:r>
      <w:r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Ф</w:t>
      </w:r>
      <w:r w:rsidR="002F65B5"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едерации</w:t>
      </w:r>
      <w:r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). Кроме того, она </w:t>
      </w:r>
      <w:hyperlink r:id="rId14" w:history="1">
        <w:r w:rsidRPr="0063217C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обязательна</w:t>
        </w:r>
      </w:hyperlink>
      <w:r w:rsidRPr="0063217C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перед вводом в эксплуатацию производственных объектов и новых рабочих мест.</w:t>
      </w:r>
    </w:p>
    <w:p w14:paraId="43D9740C" w14:textId="68B529C1" w:rsidR="00857258" w:rsidRPr="00AC6E64" w:rsidRDefault="00857258" w:rsidP="0085725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</w:pPr>
      <w:r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Обращаем внимание, что з</w:t>
      </w:r>
      <w:r w:rsidR="0063217C"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а непроведение процедуры по </w:t>
      </w:r>
      <w:r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оценке и управлению профессиональными рисками в</w:t>
      </w:r>
      <w:r w:rsidR="00653561"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соответствии с </w:t>
      </w:r>
      <w:hyperlink r:id="rId15" w:history="1">
        <w:r w:rsidR="00653561" w:rsidRPr="00AC6E64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част</w:t>
        </w:r>
        <w:r w:rsidR="00AC6E64" w:rsidRPr="00AC6E64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ью</w:t>
        </w:r>
        <w:r w:rsidR="00653561" w:rsidRPr="00AC6E64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 xml:space="preserve"> 1</w:t>
        </w:r>
      </w:hyperlink>
      <w:r w:rsidR="00AC6E64"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hyperlink r:id="rId16" w:history="1">
        <w:r w:rsidR="00653561" w:rsidRPr="00AC6E64">
          <w:rPr>
            <w:rStyle w:val="ac"/>
            <w:rFonts w:ascii="Times New Roman" w:eastAsia="Calibri" w:hAnsi="Times New Roman" w:cs="Times New Roman"/>
            <w:color w:val="000000" w:themeColor="text1"/>
            <w:kern w:val="0"/>
            <w:sz w:val="26"/>
            <w:szCs w:val="26"/>
            <w:u w:val="none"/>
            <w14:ligatures w14:val="none"/>
          </w:rPr>
          <w:t>статьи 5.27.1</w:t>
        </w:r>
      </w:hyperlink>
      <w:r w:rsidR="00653561"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="009C2B56"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Кодекс</w:t>
      </w:r>
      <w:r w:rsidR="00653561"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>а</w:t>
      </w:r>
      <w:r w:rsidR="009C2B56"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Российской Федерации об административных правонарушениях</w:t>
      </w:r>
      <w:r w:rsidR="00653561" w:rsidRPr="00AC6E64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предусмотрена административная ответственность в виде п</w:t>
      </w:r>
      <w:r w:rsidR="009C2B56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редупреждени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я или </w:t>
      </w:r>
      <w:r w:rsidR="009C2B56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наложени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я</w:t>
      </w:r>
      <w:r w:rsidR="009C2B56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 административного штрафа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:</w:t>
      </w:r>
      <w:r w:rsidR="009C2B56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 </w:t>
      </w:r>
    </w:p>
    <w:p w14:paraId="788D56A5" w14:textId="1528E50D" w:rsidR="00857258" w:rsidRPr="00AC6E64" w:rsidRDefault="009C2B56" w:rsidP="0085725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</w:pP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на должностных лиц </w:t>
      </w:r>
      <w:r w:rsidR="0053608A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– 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в размере от двух тысяч до пяти тысяч рублей; </w:t>
      </w:r>
    </w:p>
    <w:p w14:paraId="391EC91B" w14:textId="0DDB1025" w:rsidR="00857258" w:rsidRPr="00AC6E64" w:rsidRDefault="009C2B56" w:rsidP="0085725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</w:pP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на лиц, осуществляющих предпринимательскую деятельность без</w:t>
      </w:r>
      <w:r w:rsidR="00AC6E64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 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образования юридического лица, </w:t>
      </w:r>
      <w:r w:rsidR="00857258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–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 от двух тысяч до пяти тысяч рублей; </w:t>
      </w:r>
    </w:p>
    <w:p w14:paraId="6BEC5220" w14:textId="60EF52FB" w:rsidR="00653561" w:rsidRPr="00AC6E64" w:rsidRDefault="009C2B56" w:rsidP="0085725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на юридических лиц </w:t>
      </w:r>
      <w:r w:rsidR="00857258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–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 от пятидесяти тысяч до восьмидесяти тысяч рублей.</w:t>
      </w:r>
    </w:p>
    <w:p w14:paraId="2E6D7898" w14:textId="325EF26E" w:rsidR="00857258" w:rsidRDefault="00AC6E64" w:rsidP="0085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В соответствии с частью </w:t>
      </w:r>
      <w:hyperlink r:id="rId17" w:history="1">
        <w:r w:rsidRPr="00AC6E64">
          <w:rPr>
            <w:rStyle w:val="ac"/>
            <w:rFonts w:ascii="Times New Roman" w:hAnsi="Times New Roman" w:cs="Times New Roman"/>
            <w:color w:val="000000" w:themeColor="text1"/>
            <w:kern w:val="0"/>
            <w:sz w:val="26"/>
            <w:szCs w:val="26"/>
            <w:u w:val="none"/>
          </w:rPr>
          <w:t>5 статьи 5.27.1</w:t>
        </w:r>
      </w:hyperlink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 Кодекса Российской Федерации об административных правонарушениях с</w:t>
      </w:r>
      <w:r w:rsidR="009C2B56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овершение административных правонарушений, лицом, ранее подвергнутым административному наказанию за</w:t>
      </w:r>
      <w:r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> </w:t>
      </w:r>
      <w:hyperlink r:id="rId18" w:history="1">
        <w:r w:rsidR="009C2B56" w:rsidRPr="00AC6E64">
          <w:rPr>
            <w:rFonts w:ascii="Times New Roman" w:hAnsi="Times New Roman" w:cs="Times New Roman"/>
            <w:color w:val="000000" w:themeColor="text1"/>
            <w:kern w:val="0"/>
            <w:sz w:val="26"/>
            <w:szCs w:val="26"/>
          </w:rPr>
          <w:t>аналогичное</w:t>
        </w:r>
      </w:hyperlink>
      <w:r w:rsidR="009C2B56" w:rsidRPr="00AC6E64">
        <w:rPr>
          <w:rFonts w:ascii="Times New Roman" w:hAnsi="Times New Roman" w:cs="Times New Roman"/>
          <w:color w:val="000000" w:themeColor="text1"/>
          <w:kern w:val="0"/>
          <w:sz w:val="26"/>
          <w:szCs w:val="26"/>
        </w:rPr>
        <w:t xml:space="preserve"> административное правонарушение</w:t>
      </w:r>
      <w:r w:rsidR="009C2B56">
        <w:rPr>
          <w:rFonts w:ascii="Times New Roman" w:hAnsi="Times New Roman" w:cs="Times New Roman"/>
          <w:kern w:val="0"/>
          <w:sz w:val="26"/>
          <w:szCs w:val="26"/>
        </w:rPr>
        <w:t>,</w:t>
      </w:r>
      <w:r w:rsidR="0085725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C2B56">
        <w:rPr>
          <w:rFonts w:ascii="Times New Roman" w:hAnsi="Times New Roman" w:cs="Times New Roman"/>
          <w:kern w:val="0"/>
          <w:sz w:val="26"/>
          <w:szCs w:val="26"/>
        </w:rPr>
        <w:t xml:space="preserve">влечет </w:t>
      </w:r>
      <w:r w:rsidR="00857258">
        <w:rPr>
          <w:rFonts w:ascii="Times New Roman" w:hAnsi="Times New Roman" w:cs="Times New Roman"/>
          <w:kern w:val="0"/>
          <w:sz w:val="26"/>
          <w:szCs w:val="26"/>
        </w:rPr>
        <w:t>следующие виды административного наказания:</w:t>
      </w:r>
    </w:p>
    <w:p w14:paraId="01B74F4E" w14:textId="7E8C31A4" w:rsidR="00857258" w:rsidRDefault="009C2B56" w:rsidP="0085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на должностных лиц </w:t>
      </w:r>
      <w:r w:rsidR="0053608A">
        <w:rPr>
          <w:rFonts w:ascii="Times New Roman" w:hAnsi="Times New Roman" w:cs="Times New Roman"/>
          <w:kern w:val="0"/>
          <w:sz w:val="26"/>
          <w:szCs w:val="26"/>
        </w:rPr>
        <w:t xml:space="preserve">– штраф </w:t>
      </w:r>
      <w:r>
        <w:rPr>
          <w:rFonts w:ascii="Times New Roman" w:hAnsi="Times New Roman" w:cs="Times New Roman"/>
          <w:kern w:val="0"/>
          <w:sz w:val="26"/>
          <w:szCs w:val="26"/>
        </w:rPr>
        <w:t>в размере от</w:t>
      </w:r>
      <w:r w:rsidR="0053608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тридцати тысяч до сорока тысяч рублей или дисквалификацию на срок от одного года до трех лет; </w:t>
      </w:r>
    </w:p>
    <w:p w14:paraId="3A5BD8D2" w14:textId="372B32E5" w:rsidR="00857258" w:rsidRDefault="009C2B56" w:rsidP="0085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</w:t>
      </w:r>
      <w:r w:rsidR="00857258">
        <w:rPr>
          <w:rFonts w:ascii="Times New Roman" w:hAnsi="Times New Roman" w:cs="Times New Roman"/>
          <w:kern w:val="0"/>
          <w:sz w:val="26"/>
          <w:szCs w:val="26"/>
        </w:rPr>
        <w:t>–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53608A">
        <w:rPr>
          <w:rFonts w:ascii="Times New Roman" w:hAnsi="Times New Roman" w:cs="Times New Roman"/>
          <w:kern w:val="0"/>
          <w:sz w:val="26"/>
          <w:szCs w:val="26"/>
        </w:rPr>
        <w:t xml:space="preserve">штраф в размере </w:t>
      </w:r>
      <w:r>
        <w:rPr>
          <w:rFonts w:ascii="Times New Roman" w:hAnsi="Times New Roman" w:cs="Times New Roman"/>
          <w:kern w:val="0"/>
          <w:sz w:val="26"/>
          <w:szCs w:val="26"/>
        </w:rPr>
        <w:t>от тридцати тысяч до сорока тысяч рублей или</w:t>
      </w:r>
      <w:r w:rsidR="00857258">
        <w:rPr>
          <w:rFonts w:ascii="Times New Roman" w:hAnsi="Times New Roman" w:cs="Times New Roman"/>
          <w:kern w:val="0"/>
          <w:sz w:val="26"/>
          <w:szCs w:val="26"/>
        </w:rPr>
        <w:t> 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административное приостановление деятельности на срок до девяноста суток; </w:t>
      </w:r>
    </w:p>
    <w:p w14:paraId="36468D7F" w14:textId="5AA0D9FE" w:rsidR="00D776CD" w:rsidRDefault="009C2B56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на юридических лиц </w:t>
      </w:r>
      <w:r w:rsidR="00857258">
        <w:rPr>
          <w:rFonts w:ascii="Times New Roman" w:hAnsi="Times New Roman" w:cs="Times New Roman"/>
          <w:kern w:val="0"/>
          <w:sz w:val="26"/>
          <w:szCs w:val="26"/>
        </w:rPr>
        <w:t>–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53608A">
        <w:rPr>
          <w:rFonts w:ascii="Times New Roman" w:hAnsi="Times New Roman" w:cs="Times New Roman"/>
          <w:kern w:val="0"/>
          <w:sz w:val="26"/>
          <w:szCs w:val="26"/>
        </w:rPr>
        <w:t xml:space="preserve">штраф в размере </w:t>
      </w:r>
      <w:r>
        <w:rPr>
          <w:rFonts w:ascii="Times New Roman" w:hAnsi="Times New Roman" w:cs="Times New Roman"/>
          <w:kern w:val="0"/>
          <w:sz w:val="26"/>
          <w:szCs w:val="26"/>
        </w:rPr>
        <w:t>от ста тысяч до двухсот тысяч рублей или</w:t>
      </w:r>
      <w:r w:rsidR="00857258">
        <w:rPr>
          <w:rFonts w:ascii="Times New Roman" w:hAnsi="Times New Roman" w:cs="Times New Roman"/>
          <w:kern w:val="0"/>
          <w:sz w:val="26"/>
          <w:szCs w:val="26"/>
        </w:rPr>
        <w:t> </w:t>
      </w:r>
      <w:r>
        <w:rPr>
          <w:rFonts w:ascii="Times New Roman" w:hAnsi="Times New Roman" w:cs="Times New Roman"/>
          <w:kern w:val="0"/>
          <w:sz w:val="26"/>
          <w:szCs w:val="26"/>
        </w:rPr>
        <w:t>административное приостановление деятельности на срок до девяноста суток.</w:t>
      </w:r>
    </w:p>
    <w:p w14:paraId="42B362FE" w14:textId="77777777" w:rsidR="0086058A" w:rsidRDefault="0086058A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98386ED" w14:textId="77777777" w:rsidR="0086058A" w:rsidRDefault="0086058A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9889C7C" w14:textId="77777777" w:rsidR="0086058A" w:rsidRDefault="0086058A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A612740" w14:textId="77777777" w:rsidR="0086058A" w:rsidRDefault="0086058A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0DC153C" w14:textId="77777777" w:rsidR="0086058A" w:rsidRDefault="0086058A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EE7E975" w14:textId="77777777" w:rsidR="0086058A" w:rsidRDefault="0086058A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4A18277D" w14:textId="77777777" w:rsidR="0086058A" w:rsidRDefault="0086058A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60CA54E" w14:textId="77777777" w:rsidR="0086058A" w:rsidRDefault="0086058A" w:rsidP="00DD2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65533A0" w14:textId="77777777" w:rsidR="0086058A" w:rsidRPr="0086058A" w:rsidRDefault="0086058A" w:rsidP="008605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</w:pPr>
      <w:r w:rsidRPr="0086058A"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  <w:t xml:space="preserve">Управление экономики Администрации Северодвинска, </w:t>
      </w:r>
    </w:p>
    <w:p w14:paraId="1DAA5CEA" w14:textId="77777777" w:rsidR="0086058A" w:rsidRPr="0086058A" w:rsidRDefault="0086058A" w:rsidP="008605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</w:pPr>
      <w:r w:rsidRPr="0086058A"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  <w:t>г. Северодвинск, ул. Бойчука, 3, кабинет 309,</w:t>
      </w:r>
    </w:p>
    <w:p w14:paraId="3CD2CA12" w14:textId="51378F37" w:rsidR="0086058A" w:rsidRPr="00575E6C" w:rsidRDefault="0086058A" w:rsidP="00575E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</w:pPr>
      <w:r w:rsidRPr="0086058A"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  <w:t>тел./факс 8(8184) 583008, guardwork@adm.severodvinsk.ru</w:t>
      </w:r>
    </w:p>
    <w:sectPr w:rsidR="0086058A" w:rsidRPr="00575E6C" w:rsidSect="00FD339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38F4" w14:textId="77777777" w:rsidR="0036060E" w:rsidRDefault="0036060E" w:rsidP="00FD3391">
      <w:pPr>
        <w:spacing w:after="0" w:line="240" w:lineRule="auto"/>
      </w:pPr>
      <w:r>
        <w:separator/>
      </w:r>
    </w:p>
  </w:endnote>
  <w:endnote w:type="continuationSeparator" w:id="0">
    <w:p w14:paraId="06704042" w14:textId="77777777" w:rsidR="0036060E" w:rsidRDefault="0036060E" w:rsidP="00FD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FA08" w14:textId="77777777" w:rsidR="0036060E" w:rsidRDefault="0036060E" w:rsidP="00FD3391">
      <w:pPr>
        <w:spacing w:after="0" w:line="240" w:lineRule="auto"/>
      </w:pPr>
      <w:r>
        <w:separator/>
      </w:r>
    </w:p>
  </w:footnote>
  <w:footnote w:type="continuationSeparator" w:id="0">
    <w:p w14:paraId="717C98CC" w14:textId="77777777" w:rsidR="0036060E" w:rsidRDefault="0036060E" w:rsidP="00FD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74181"/>
      <w:docPartObj>
        <w:docPartGallery w:val="Page Numbers (Top of Page)"/>
        <w:docPartUnique/>
      </w:docPartObj>
    </w:sdtPr>
    <w:sdtContent>
      <w:p w14:paraId="0325F18B" w14:textId="3EF749B8" w:rsidR="00FD3391" w:rsidRDefault="00FD33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3C600" w14:textId="77777777" w:rsidR="00FD3391" w:rsidRDefault="00FD339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 w16cid:durableId="429735705">
    <w:abstractNumId w:val="0"/>
  </w:num>
  <w:num w:numId="2" w16cid:durableId="1503933958">
    <w:abstractNumId w:val="1"/>
  </w:num>
  <w:num w:numId="3" w16cid:durableId="94654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93"/>
    <w:rsid w:val="00121B19"/>
    <w:rsid w:val="00135008"/>
    <w:rsid w:val="001D2B18"/>
    <w:rsid w:val="0021735C"/>
    <w:rsid w:val="00247738"/>
    <w:rsid w:val="002F65B5"/>
    <w:rsid w:val="0036060E"/>
    <w:rsid w:val="003E27C3"/>
    <w:rsid w:val="00407301"/>
    <w:rsid w:val="00425EB3"/>
    <w:rsid w:val="00487047"/>
    <w:rsid w:val="0053608A"/>
    <w:rsid w:val="00536C27"/>
    <w:rsid w:val="00575E6C"/>
    <w:rsid w:val="0063217C"/>
    <w:rsid w:val="006477AA"/>
    <w:rsid w:val="00653561"/>
    <w:rsid w:val="00687996"/>
    <w:rsid w:val="00694656"/>
    <w:rsid w:val="007144EC"/>
    <w:rsid w:val="00857258"/>
    <w:rsid w:val="0086058A"/>
    <w:rsid w:val="008A4C81"/>
    <w:rsid w:val="00910455"/>
    <w:rsid w:val="009A1493"/>
    <w:rsid w:val="009C2B56"/>
    <w:rsid w:val="009C335F"/>
    <w:rsid w:val="009D634E"/>
    <w:rsid w:val="00A11F32"/>
    <w:rsid w:val="00A2484F"/>
    <w:rsid w:val="00A607AE"/>
    <w:rsid w:val="00AC6E64"/>
    <w:rsid w:val="00B52C4B"/>
    <w:rsid w:val="00BC1DC2"/>
    <w:rsid w:val="00CE5E3A"/>
    <w:rsid w:val="00CE6CBC"/>
    <w:rsid w:val="00D01D3C"/>
    <w:rsid w:val="00D776CD"/>
    <w:rsid w:val="00DA1832"/>
    <w:rsid w:val="00DB3595"/>
    <w:rsid w:val="00DB7104"/>
    <w:rsid w:val="00DD2057"/>
    <w:rsid w:val="00E11350"/>
    <w:rsid w:val="00E60520"/>
    <w:rsid w:val="00EB3E4D"/>
    <w:rsid w:val="00F33E37"/>
    <w:rsid w:val="00FD3391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F4D3"/>
  <w15:chartTrackingRefBased/>
  <w15:docId w15:val="{67B9FBC6-F4D5-4845-B638-16B29B77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1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14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14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14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14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14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14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1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14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14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14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14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149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F5F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5FB0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D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3391"/>
  </w:style>
  <w:style w:type="paragraph" w:styleId="af0">
    <w:name w:val="footer"/>
    <w:basedOn w:val="a"/>
    <w:link w:val="af1"/>
    <w:uiPriority w:val="99"/>
    <w:unhideWhenUsed/>
    <w:rsid w:val="00FD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3335&amp;dst=100240" TargetMode="External"/><Relationship Id="rId13" Type="http://schemas.openxmlformats.org/officeDocument/2006/relationships/hyperlink" Target="https://login.consultant.ru/link/?req=doc&amp;base=LAW&amp;n=502632&amp;dst=2647" TargetMode="External"/><Relationship Id="rId18" Type="http://schemas.openxmlformats.org/officeDocument/2006/relationships/hyperlink" Target="https://login.consultant.ru/link/?req=doc&amp;base=LAW&amp;n=404665&amp;dst=100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QUEST&amp;n=222880&amp;dst=100010" TargetMode="External"/><Relationship Id="rId17" Type="http://schemas.openxmlformats.org/officeDocument/2006/relationships/hyperlink" Target="https://login.consultant.ru/link/?req=doc&amp;base=LAW&amp;n=502642&amp;dst=56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2642&amp;dst=566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6016&amp;dst=100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2642&amp;dst=8799" TargetMode="External"/><Relationship Id="rId10" Type="http://schemas.openxmlformats.org/officeDocument/2006/relationships/hyperlink" Target="https://login.consultant.ru/link/?req=doc&amp;base=LAW&amp;n=26239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TR&amp;n=13628" TargetMode="External"/><Relationship Id="rId14" Type="http://schemas.openxmlformats.org/officeDocument/2006/relationships/hyperlink" Target="https://login.consultant.ru/link/?req=doc&amp;base=LAW&amp;n=502632&amp;dst=2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CBBD-FC49-4F09-9BF9-6D315C92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Ермошко Ирина Викторовна</dc:creator>
  <cp:keywords/>
  <dc:description/>
  <cp:lastModifiedBy>Ермошко Ирина Викторовна</cp:lastModifiedBy>
  <cp:revision>26</cp:revision>
  <cp:lastPrinted>2025-05-28T08:23:00Z</cp:lastPrinted>
  <dcterms:created xsi:type="dcterms:W3CDTF">2025-05-20T10:06:00Z</dcterms:created>
  <dcterms:modified xsi:type="dcterms:W3CDTF">2025-05-28T08:24:00Z</dcterms:modified>
</cp:coreProperties>
</file>